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P R O I E C T 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>DE</w:t>
      </w:r>
      <w:r w:rsidR="00BD6B16">
        <w:rPr>
          <w:rFonts w:ascii="Tahoma" w:hAnsi="Tahoma" w:cs="Tahoma"/>
          <w:b/>
          <w:sz w:val="22"/>
          <w:szCs w:val="22"/>
          <w:lang w:eastAsia="ar-SA"/>
        </w:rPr>
        <w:t xml:space="preserve">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H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O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T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Ă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Â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 xml:space="preserve">E </w:t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7349FB" w:rsidRP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7A7A5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124514" w:rsidRPr="007A7A56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>P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>ri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vind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aprobarea </w:t>
      </w:r>
      <w:r w:rsidR="007C4DCB" w:rsidRPr="007A7A56">
        <w:rPr>
          <w:rFonts w:ascii="Tahoma" w:hAnsi="Tahoma" w:cs="Tahoma"/>
          <w:b/>
          <w:sz w:val="22"/>
          <w:szCs w:val="22"/>
          <w:lang w:eastAsia="ar-SA"/>
        </w:rPr>
        <w:t>constatăr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ii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dreptul</w:t>
      </w:r>
      <w:r w:rsidR="001B53D8">
        <w:rPr>
          <w:rFonts w:ascii="Tahoma" w:hAnsi="Tahoma" w:cs="Tahoma"/>
          <w:b/>
          <w:sz w:val="22"/>
          <w:szCs w:val="22"/>
          <w:lang w:eastAsia="ar-SA"/>
        </w:rPr>
        <w:t>ui de proprietate publica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7A7A56" w:rsidRPr="007A7A56">
        <w:rPr>
          <w:rFonts w:ascii="Tahoma" w:hAnsi="Tahoma" w:cs="Tahoma"/>
          <w:b/>
          <w:sz w:val="22"/>
          <w:szCs w:val="22"/>
          <w:lang w:eastAsia="ar-SA"/>
        </w:rPr>
        <w:t xml:space="preserve">a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unor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terenuri </w:t>
      </w:r>
      <w:r w:rsidR="007A7A56" w:rsidRPr="007A7A56">
        <w:rPr>
          <w:rFonts w:ascii="Tahoma" w:hAnsi="Tahoma" w:cs="Tahoma"/>
          <w:b/>
          <w:sz w:val="22"/>
          <w:szCs w:val="22"/>
          <w:lang w:eastAsia="ar-SA"/>
        </w:rPr>
        <w:t>situat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e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în intravilanul Municipiului Dej</w:t>
      </w:r>
      <w:r w:rsidR="005701D8"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124514" w:rsidRPr="007A7A56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3D5B8B" w:rsidRDefault="00124514" w:rsidP="00124514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         </w:t>
      </w:r>
      <w:proofErr w:type="spellStart"/>
      <w:r w:rsidR="001613EA">
        <w:rPr>
          <w:rFonts w:ascii="Tahoma" w:hAnsi="Tahoma" w:cs="Tahoma"/>
          <w:b/>
          <w:sz w:val="22"/>
          <w:szCs w:val="22"/>
          <w:lang w:eastAsia="ar-SA"/>
        </w:rPr>
        <w:t>Avand</w:t>
      </w:r>
      <w:proofErr w:type="spellEnd"/>
      <w:r w:rsidR="001613EA">
        <w:rPr>
          <w:rFonts w:ascii="Tahoma" w:hAnsi="Tahoma" w:cs="Tahoma"/>
          <w:b/>
          <w:sz w:val="22"/>
          <w:szCs w:val="22"/>
          <w:lang w:eastAsia="ar-SA"/>
        </w:rPr>
        <w:t xml:space="preserve"> in vedere</w:t>
      </w:r>
    </w:p>
    <w:p w:rsidR="00124514" w:rsidRPr="007A7A56" w:rsidRDefault="0050572D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</w:t>
      </w:r>
      <w:r w:rsidR="001C3C30">
        <w:rPr>
          <w:rFonts w:ascii="Tahoma" w:hAnsi="Tahoma" w:cs="Tahoma"/>
          <w:bCs/>
          <w:sz w:val="22"/>
          <w:szCs w:val="22"/>
          <w:lang w:eastAsia="ar-SA"/>
        </w:rPr>
        <w:t xml:space="preserve"> Raportul 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de specialitate 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Nr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…….</w:t>
      </w:r>
      <w:r w:rsidR="00DA250D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din data de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……….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, al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Compartimentului  Patrimoniu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din cadrul Primăriei Municipiului Dej, prin care se propune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constatarea </w:t>
      </w:r>
      <w:r w:rsidR="00B71B36">
        <w:rPr>
          <w:rFonts w:ascii="Tahoma" w:hAnsi="Tahoma" w:cs="Tahoma"/>
          <w:bCs/>
          <w:sz w:val="22"/>
          <w:szCs w:val="22"/>
          <w:lang w:eastAsia="ar-SA"/>
        </w:rPr>
        <w:t xml:space="preserve">dreptului de proprietate publica </w:t>
      </w:r>
      <w:r w:rsidR="007C4DCB" w:rsidRPr="007C4DCB">
        <w:rPr>
          <w:rFonts w:ascii="Tahoma" w:hAnsi="Tahoma" w:cs="Tahoma"/>
          <w:bCs/>
          <w:sz w:val="22"/>
          <w:szCs w:val="22"/>
          <w:lang w:eastAsia="ar-SA"/>
        </w:rPr>
        <w:t>a unor terenuri situate în intravilanul Municipiului Dej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și administrarea Consiliului Local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 Municipiului Dej ca efect </w:t>
      </w:r>
      <w:r w:rsidR="007C4DCB">
        <w:rPr>
          <w:rFonts w:ascii="Tahoma" w:hAnsi="Tahoma" w:cs="Tahoma"/>
          <w:bCs/>
          <w:sz w:val="22"/>
          <w:szCs w:val="22"/>
          <w:lang w:eastAsia="ar-SA"/>
        </w:rPr>
        <w:t>al Legii nr.18/1991,republicată, art.36;</w:t>
      </w:r>
    </w:p>
    <w:p w:rsidR="00C721F5" w:rsidRPr="007A7A56" w:rsidRDefault="00BD6B16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bCs/>
          <w:sz w:val="22"/>
          <w:szCs w:val="22"/>
          <w:lang w:eastAsia="ar-SA"/>
        </w:rPr>
        <w:t xml:space="preserve">         Prevederile</w:t>
      </w:r>
      <w:r w:rsidR="007C4DCB">
        <w:rPr>
          <w:rFonts w:ascii="Tahoma" w:hAnsi="Tahoma" w:cs="Tahoma"/>
          <w:bCs/>
          <w:sz w:val="22"/>
          <w:szCs w:val="22"/>
          <w:lang w:eastAsia="ar-SA"/>
        </w:rPr>
        <w:t xml:space="preserve"> Legii 213/1998 privind proprietatea publica si regimul juridic al acesteia, ale</w:t>
      </w:r>
      <w:r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ED64FE">
        <w:rPr>
          <w:rFonts w:ascii="Tahoma" w:hAnsi="Tahoma" w:cs="Tahoma"/>
          <w:bCs/>
          <w:sz w:val="22"/>
          <w:szCs w:val="22"/>
          <w:lang w:eastAsia="ar-SA"/>
        </w:rPr>
        <w:t xml:space="preserve"> O.G. 43/1997 privind regimul juridic al drumurilor, art.</w:t>
      </w:r>
      <w:bookmarkStart w:id="0" w:name="_GoBack"/>
      <w:bookmarkEnd w:id="0"/>
      <w:r w:rsidR="00F43C3C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ar-SA"/>
        </w:rPr>
        <w:t>554 alin(1) si art.859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alin(2) din Noul Cod civil.</w:t>
      </w:r>
    </w:p>
    <w:p w:rsidR="00BF05CA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 În temeiul prevederilor art. 36, alin. (2), lit. c); art. 45, alin. (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>3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)</w:t>
      </w:r>
      <w:r w:rsidR="00471546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i art. 119 </w:t>
      </w:r>
      <w:r w:rsidR="00222BEF" w:rsidRPr="007A7A56">
        <w:rPr>
          <w:rFonts w:ascii="Tahoma" w:hAnsi="Tahoma" w:cs="Tahoma"/>
          <w:sz w:val="22"/>
          <w:szCs w:val="22"/>
        </w:rPr>
        <w:t>din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Legea Nr. 215/2001 privind administrația publică locală, republicată, cu modificările și completările ulterioare,</w:t>
      </w:r>
    </w:p>
    <w:p w:rsidR="007A7A56" w:rsidRPr="007A7A56" w:rsidRDefault="007A7A56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C721F5" w:rsidRPr="007A7A56" w:rsidRDefault="00C721F5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7A7A56" w:rsidRPr="007A7A56" w:rsidRDefault="007A7A5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6E6E76" w:rsidRPr="007A7A5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F43C3C" w:rsidRDefault="006E6E76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    </w:t>
      </w:r>
      <w:r w:rsidR="00165A11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constată</w:t>
      </w:r>
      <w:r w:rsidR="00AD3A4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dreptul de proprietate publica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 Municipiului Dej, asupra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terenurilor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intravilane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</w:t>
      </w:r>
      <w:r w:rsidR="001B53D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ituat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1B53D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in Dej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prezentate in Anexa , care face parte din prezenta 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hotărâre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C721F5" w:rsidRPr="007A7A56" w:rsidRDefault="00F43C3C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 </w:t>
      </w:r>
      <w:r w:rsidR="007A7A56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Art.2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.Terenu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rile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menționat la art.1 nu sunt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revendicat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în temeiul legilor proprietății și nu fac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obiectul unor litigii pe rolul instanțelor de judecată.</w:t>
      </w:r>
    </w:p>
    <w:p w:rsidR="003C5EF8" w:rsidRDefault="001B53D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 la îndeplinire a prevederilor prezentei hotărâri se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încredințează</w:t>
      </w:r>
      <w:r w:rsidR="00EF6C5F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Serviciul SUAT, Compartiment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Patrimoniu public și privat și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din cadrul Primăriei Municipiului Dej.</w:t>
      </w:r>
    </w:p>
    <w:p w:rsidR="00F43C3C" w:rsidRPr="007A7A56" w:rsidRDefault="00F43C3C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Art.4.</w:t>
      </w:r>
      <w:r w:rsidR="00D74513" w:rsidRPr="00D74513">
        <w:t xml:space="preserve">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Prezenta hotărâre se comunică prin intermediul secretarului, în termenul prevăzut de lege, Primarului Municipiului Dej, Serviciului de Urbanism si Amenajarea Teritoriului, Compartimentului Patrimoniu Public si Privat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ui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si Instituției Prefectului Județului Cluj</w:t>
      </w:r>
      <w:r w:rsidR="00C5527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222BEF" w:rsidRPr="007A7A56" w:rsidRDefault="003C5EF8" w:rsidP="003C5EF8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Default="001524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</w:p>
    <w:p w:rsidR="007A7A56" w:rsidRPr="007A7A56" w:rsidRDefault="007A7A5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  <w:t xml:space="preserve">  I N I  Ț I A T O R</w:t>
      </w:r>
    </w:p>
    <w:p w:rsidR="00943476" w:rsidRPr="007A7A56" w:rsidRDefault="007A7A5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P R I M A R  </w:t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   Contrasemnează,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</w:t>
      </w:r>
      <w:r w:rsid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 xml:space="preserve">      Morar </w:t>
      </w:r>
      <w:proofErr w:type="spellStart"/>
      <w:r w:rsidRPr="007A7A56">
        <w:rPr>
          <w:rFonts w:ascii="Tahoma" w:hAnsi="Tahoma" w:cs="Tahoma"/>
          <w:b/>
          <w:sz w:val="22"/>
          <w:szCs w:val="22"/>
        </w:rPr>
        <w:t>Costan</w:t>
      </w:r>
      <w:proofErr w:type="spellEnd"/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7A7A56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Pr="007A7A56">
        <w:rPr>
          <w:rFonts w:ascii="Tahoma" w:hAnsi="Tahoma" w:cs="Tahoma"/>
          <w:b/>
          <w:sz w:val="22"/>
          <w:szCs w:val="22"/>
        </w:rPr>
        <w:t>Secretar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Jr. Pop Cristina     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sz w:val="22"/>
          <w:szCs w:val="22"/>
        </w:rPr>
        <w:tab/>
      </w:r>
    </w:p>
    <w:p w:rsidR="00DA3F28" w:rsidRPr="007A7A56" w:rsidRDefault="0015245B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sz w:val="22"/>
          <w:szCs w:val="22"/>
        </w:rPr>
        <w:tab/>
      </w:r>
    </w:p>
    <w:sectPr w:rsidR="00DA3F28" w:rsidRPr="007A7A56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8E" w:rsidRDefault="00C7128E" w:rsidP="00857553">
      <w:r>
        <w:separator/>
      </w:r>
    </w:p>
  </w:endnote>
  <w:endnote w:type="continuationSeparator" w:id="0">
    <w:p w:rsidR="00C7128E" w:rsidRDefault="00C7128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8E" w:rsidRDefault="00C7128E" w:rsidP="00857553">
      <w:r>
        <w:separator/>
      </w:r>
    </w:p>
  </w:footnote>
  <w:footnote w:type="continuationSeparator" w:id="0">
    <w:p w:rsidR="00C7128E" w:rsidRDefault="00C7128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03A8"/>
    <w:rsid w:val="0005513F"/>
    <w:rsid w:val="00061E6B"/>
    <w:rsid w:val="0007062D"/>
    <w:rsid w:val="0007766D"/>
    <w:rsid w:val="00080B78"/>
    <w:rsid w:val="00093C44"/>
    <w:rsid w:val="000A60A7"/>
    <w:rsid w:val="000B1EED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13EA"/>
    <w:rsid w:val="00165A11"/>
    <w:rsid w:val="00171BEE"/>
    <w:rsid w:val="0017685A"/>
    <w:rsid w:val="00182477"/>
    <w:rsid w:val="001867F7"/>
    <w:rsid w:val="00186A15"/>
    <w:rsid w:val="0019070A"/>
    <w:rsid w:val="001A11BE"/>
    <w:rsid w:val="001B53D8"/>
    <w:rsid w:val="001B5DA1"/>
    <w:rsid w:val="001C3C30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00C8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2F6A1A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5B8B"/>
    <w:rsid w:val="003D7D57"/>
    <w:rsid w:val="003E557C"/>
    <w:rsid w:val="004002F8"/>
    <w:rsid w:val="00412EF7"/>
    <w:rsid w:val="004175A2"/>
    <w:rsid w:val="004214CD"/>
    <w:rsid w:val="004251DC"/>
    <w:rsid w:val="00427DD1"/>
    <w:rsid w:val="00443328"/>
    <w:rsid w:val="00447186"/>
    <w:rsid w:val="0045375C"/>
    <w:rsid w:val="00471546"/>
    <w:rsid w:val="00476A49"/>
    <w:rsid w:val="004844C9"/>
    <w:rsid w:val="00485B7D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117F3"/>
    <w:rsid w:val="00525201"/>
    <w:rsid w:val="00527400"/>
    <w:rsid w:val="00530230"/>
    <w:rsid w:val="00531A03"/>
    <w:rsid w:val="005324EB"/>
    <w:rsid w:val="00542CDC"/>
    <w:rsid w:val="00553C1A"/>
    <w:rsid w:val="00561348"/>
    <w:rsid w:val="00564805"/>
    <w:rsid w:val="005701D8"/>
    <w:rsid w:val="00573DDF"/>
    <w:rsid w:val="00576B69"/>
    <w:rsid w:val="00586A71"/>
    <w:rsid w:val="00592D6B"/>
    <w:rsid w:val="005A3D01"/>
    <w:rsid w:val="005A604B"/>
    <w:rsid w:val="005A63DD"/>
    <w:rsid w:val="005D31DF"/>
    <w:rsid w:val="005D7E94"/>
    <w:rsid w:val="005E552B"/>
    <w:rsid w:val="005F2A4C"/>
    <w:rsid w:val="00613911"/>
    <w:rsid w:val="00620AA5"/>
    <w:rsid w:val="006243FC"/>
    <w:rsid w:val="00637EF5"/>
    <w:rsid w:val="00645880"/>
    <w:rsid w:val="00654C9A"/>
    <w:rsid w:val="00660474"/>
    <w:rsid w:val="0068151B"/>
    <w:rsid w:val="00687778"/>
    <w:rsid w:val="00687F50"/>
    <w:rsid w:val="006908CE"/>
    <w:rsid w:val="00693FBB"/>
    <w:rsid w:val="00693FC4"/>
    <w:rsid w:val="006A4BCE"/>
    <w:rsid w:val="006C1A2D"/>
    <w:rsid w:val="006C2310"/>
    <w:rsid w:val="006C3458"/>
    <w:rsid w:val="006D25E6"/>
    <w:rsid w:val="006E1101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0103"/>
    <w:rsid w:val="0076455F"/>
    <w:rsid w:val="0076618F"/>
    <w:rsid w:val="007661A2"/>
    <w:rsid w:val="007711AE"/>
    <w:rsid w:val="00780674"/>
    <w:rsid w:val="00780EFA"/>
    <w:rsid w:val="007862B1"/>
    <w:rsid w:val="00786912"/>
    <w:rsid w:val="007A3262"/>
    <w:rsid w:val="007A4338"/>
    <w:rsid w:val="007A622E"/>
    <w:rsid w:val="007A7A56"/>
    <w:rsid w:val="007B4D5D"/>
    <w:rsid w:val="007B4D71"/>
    <w:rsid w:val="007B7701"/>
    <w:rsid w:val="007C4DCB"/>
    <w:rsid w:val="007D2BB4"/>
    <w:rsid w:val="007D452E"/>
    <w:rsid w:val="007E0267"/>
    <w:rsid w:val="007F6F2B"/>
    <w:rsid w:val="00802D50"/>
    <w:rsid w:val="008070E8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E6703"/>
    <w:rsid w:val="008F2A72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2FD3"/>
    <w:rsid w:val="00A33D7D"/>
    <w:rsid w:val="00A44F08"/>
    <w:rsid w:val="00A47742"/>
    <w:rsid w:val="00A637E8"/>
    <w:rsid w:val="00A66913"/>
    <w:rsid w:val="00A75935"/>
    <w:rsid w:val="00A81871"/>
    <w:rsid w:val="00A906B2"/>
    <w:rsid w:val="00A919B9"/>
    <w:rsid w:val="00A948CC"/>
    <w:rsid w:val="00A94976"/>
    <w:rsid w:val="00AD3A23"/>
    <w:rsid w:val="00AD3A43"/>
    <w:rsid w:val="00AD6470"/>
    <w:rsid w:val="00B05634"/>
    <w:rsid w:val="00B1352B"/>
    <w:rsid w:val="00B14380"/>
    <w:rsid w:val="00B1444B"/>
    <w:rsid w:val="00B1712B"/>
    <w:rsid w:val="00B17F6D"/>
    <w:rsid w:val="00B230E4"/>
    <w:rsid w:val="00B41B25"/>
    <w:rsid w:val="00B4677C"/>
    <w:rsid w:val="00B71B36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D6B16"/>
    <w:rsid w:val="00BF05CA"/>
    <w:rsid w:val="00BF2C06"/>
    <w:rsid w:val="00C042EB"/>
    <w:rsid w:val="00C062BC"/>
    <w:rsid w:val="00C20CC0"/>
    <w:rsid w:val="00C34AEA"/>
    <w:rsid w:val="00C40B24"/>
    <w:rsid w:val="00C43287"/>
    <w:rsid w:val="00C43745"/>
    <w:rsid w:val="00C545B8"/>
    <w:rsid w:val="00C54A0F"/>
    <w:rsid w:val="00C55272"/>
    <w:rsid w:val="00C70CCF"/>
    <w:rsid w:val="00C7128E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2E5E"/>
    <w:rsid w:val="00D33D22"/>
    <w:rsid w:val="00D53ABF"/>
    <w:rsid w:val="00D54678"/>
    <w:rsid w:val="00D56CF8"/>
    <w:rsid w:val="00D6150C"/>
    <w:rsid w:val="00D7451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D64FE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C3C"/>
    <w:rsid w:val="00F43D39"/>
    <w:rsid w:val="00F54AFD"/>
    <w:rsid w:val="00F621FA"/>
    <w:rsid w:val="00F6764C"/>
    <w:rsid w:val="00F7188C"/>
    <w:rsid w:val="00F73E13"/>
    <w:rsid w:val="00F97DE0"/>
    <w:rsid w:val="00FA2F5D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2208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Mihaela Lazar</cp:lastModifiedBy>
  <cp:revision>3</cp:revision>
  <cp:lastPrinted>2018-12-04T08:10:00Z</cp:lastPrinted>
  <dcterms:created xsi:type="dcterms:W3CDTF">2019-03-20T08:07:00Z</dcterms:created>
  <dcterms:modified xsi:type="dcterms:W3CDTF">2019-03-20T08:15:00Z</dcterms:modified>
</cp:coreProperties>
</file>